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0E1B33" w:val="clear"/>
        <w:spacing w:after="0"/>
      </w:pPr>
      <w:r>
        <w:rPr>
          <w:b/>
          <w:bCs/>
          <w:color w:val="B2FF2E"/>
          <w:sz w:val="20"/>
          <w:szCs w:val="20"/>
        </w:rPr>
        <w:t xml:space="preserve">COSMORANK</w:t>
      </w:r>
    </w:p>
    <w:p>
      <w:pPr>
        <w:pStyle w:val="Title"/>
        <w:spacing w:after="80" w:before="200"/>
      </w:pPr>
      <w:r>
        <w:rPr>
          <w:b/>
          <w:bCs/>
          <w:color w:val="0E1B33"/>
          <w:sz w:val="38"/>
          <w:szCs w:val="38"/>
        </w:rPr>
        <w:t xml:space="preserve">Service Packages</w:t>
      </w:r>
    </w:p>
    <w:p>
      <w:pPr>
        <w:spacing w:after="60"/>
      </w:pPr>
      <w:r>
        <w:rPr>
          <w:color w:val="5A6B87"/>
          <w:sz w:val="20"/>
          <w:szCs w:val="20"/>
        </w:rPr>
        <w:t xml:space="preserve">Social Media Management &amp; Meta Advertising</w:t>
      </w:r>
    </w:p>
    <w:p>
      <w:pPr>
        <w:spacing w:after="240"/>
      </w:pPr>
      <w:r>
        <w:rPr>
          <w:color w:val="5A6B87"/>
          <w:sz w:val="17"/>
          <w:szCs w:val="17"/>
        </w:rPr>
        <w:t xml:space="preserve">Prepared by CosmoRank · cosmorank.com · Valid for 30 days</w:t>
      </w:r>
    </w:p>
    <w:p>
      <w:pPr>
        <w:spacing w:after="160"/>
      </w:pPr>
      <w:r>
        <w:rPr>
          <w:color w:val="5A6B87"/>
          <w:sz w:val="19"/>
          <w:szCs w:val="19"/>
        </w:rPr>
        <w:t xml:space="preserve">Standard market pricing for social media management and Meta advertising services, structured across three tiers. Regardless of the package selected, every CosmoRank engagement is executed at our premium standard of work — we do not scale down quality by tier, only scope and deliverable volume.</w:t>
      </w:r>
    </w:p>
    <w:p>
      <w:pPr>
        <w:pStyle w:val="Heading1"/>
        <w:spacing w:after="100" w:before="280"/>
      </w:pPr>
      <w:r>
        <w:rPr>
          <w:b/>
          <w:bCs/>
          <w:color w:val="0E1B33"/>
          <w:sz w:val="28"/>
          <w:szCs w:val="28"/>
        </w:rPr>
        <w:t xml:space="preserve">Social Media Management</w:t>
      </w:r>
    </w:p>
    <w:p>
      <w:pPr>
        <w:shd w:fill="F4F7FB" w:val="clear"/>
        <w:spacing w:after="0" w:before="220"/>
      </w:pPr>
      <w:r>
        <w:rPr>
          <w:b/>
          <w:bCs/>
          <w:color w:val="0E1B33"/>
          <w:sz w:val="24"/>
          <w:szCs w:val="24"/>
        </w:rPr>
        <w:t xml:space="preserve">Basic</w:t>
      </w:r>
    </w:p>
    <w:p>
      <w:pPr>
        <w:shd w:fill="F4F7FB" w:val="clear"/>
        <w:spacing w:after="100"/>
      </w:pPr>
      <w:r>
        <w:rPr>
          <w:i/>
          <w:iCs/>
          <w:color w:val="5A6B87"/>
          <w:sz w:val="17"/>
          <w:szCs w:val="17"/>
        </w:rPr>
        <w:t xml:space="preserve">For businesses establishing a consistent presence</w:t>
      </w:r>
    </w:p>
    <w:p>
      <w:pPr>
        <w:shd w:fill="F4F7FB" w:val="clear"/>
        <w:spacing w:after="140"/>
      </w:pPr>
      <w:r>
        <w:rPr>
          <w:b/>
          <w:bCs/>
          <w:color w:val="0E1B33"/>
          <w:sz w:val="30"/>
          <w:szCs w:val="30"/>
        </w:rPr>
        <w:t xml:space="preserve">$697</w:t>
      </w:r>
      <w:r>
        <w:rPr>
          <w:color w:val="5A6B87"/>
          <w:sz w:val="16"/>
          <w:szCs w:val="16"/>
        </w:rPr>
        <w:t xml:space="preserve">  / month</w:t>
      </w:r>
    </w:p>
    <w:p>
      <w:pPr>
        <w:pStyle w:val="ListParagraph"/>
        <w:numPr>
          <w:ilvl w:val="0"/>
          <w:numId w:val="1"/>
        </w:numPr>
        <w:spacing w:after="45"/>
      </w:pPr>
      <w:r>
        <w:rPr>
          <w:color w:val="22314F"/>
          <w:sz w:val="17"/>
          <w:szCs w:val="17"/>
        </w:rPr>
        <w:t xml:space="preserve">12 posts per month (mix of image + graphic)</w:t>
      </w:r>
    </w:p>
    <w:p>
      <w:pPr>
        <w:pStyle w:val="ListParagraph"/>
        <w:numPr>
          <w:ilvl w:val="0"/>
          <w:numId w:val="1"/>
        </w:numPr>
        <w:spacing w:after="45"/>
      </w:pPr>
      <w:r>
        <w:rPr>
          <w:color w:val="22314F"/>
          <w:sz w:val="17"/>
          <w:szCs w:val="17"/>
        </w:rPr>
        <w:t xml:space="preserve">Published across 2 platforms</w:t>
      </w:r>
    </w:p>
    <w:p>
      <w:pPr>
        <w:pStyle w:val="ListParagraph"/>
        <w:numPr>
          <w:ilvl w:val="0"/>
          <w:numId w:val="1"/>
        </w:numPr>
        <w:spacing w:after="45"/>
      </w:pPr>
      <w:r>
        <w:rPr>
          <w:color w:val="22314F"/>
          <w:sz w:val="17"/>
          <w:szCs w:val="17"/>
        </w:rPr>
        <w:t xml:space="preserve">Basic caption copywriting</w:t>
      </w:r>
    </w:p>
    <w:p>
      <w:pPr>
        <w:pStyle w:val="ListParagraph"/>
        <w:numPr>
          <w:ilvl w:val="0"/>
          <w:numId w:val="1"/>
        </w:numPr>
        <w:spacing w:after="45"/>
      </w:pPr>
      <w:r>
        <w:rPr>
          <w:color w:val="22314F"/>
          <w:sz w:val="17"/>
          <w:szCs w:val="17"/>
        </w:rPr>
        <w:t xml:space="preserve">Monthly content calendar</w:t>
      </w:r>
    </w:p>
    <w:p>
      <w:pPr>
        <w:pStyle w:val="ListParagraph"/>
        <w:numPr>
          <w:ilvl w:val="0"/>
          <w:numId w:val="1"/>
        </w:numPr>
        <w:spacing w:after="45"/>
      </w:pPr>
      <w:r>
        <w:rPr>
          <w:color w:val="22314F"/>
          <w:sz w:val="17"/>
          <w:szCs w:val="17"/>
        </w:rPr>
        <w:t xml:space="preserve">Community management (business hours, weekdays)</w:t>
      </w:r>
    </w:p>
    <w:p>
      <w:pPr>
        <w:spacing w:after="100"/>
      </w:pPr>
      <w:r>
        <w:t xml:space="preserve"/>
      </w:r>
    </w:p>
    <w:p>
      <w:pPr>
        <w:shd w:fill="F4F7FB" w:val="clear"/>
        <w:spacing w:after="0" w:before="220"/>
      </w:pPr>
      <w:r>
        <w:rPr>
          <w:b/>
          <w:bCs/>
          <w:color w:val="0E1B33"/>
          <w:sz w:val="24"/>
          <w:szCs w:val="24"/>
        </w:rPr>
        <w:t xml:space="preserve">Standard</w:t>
      </w:r>
    </w:p>
    <w:p>
      <w:pPr>
        <w:shd w:fill="F4F7FB" w:val="clear"/>
        <w:spacing w:after="100"/>
      </w:pPr>
      <w:r>
        <w:rPr>
          <w:i/>
          <w:iCs/>
          <w:color w:val="5A6B87"/>
          <w:sz w:val="17"/>
          <w:szCs w:val="17"/>
        </w:rPr>
        <w:t xml:space="preserve">For businesses actively growing their audience</w:t>
      </w:r>
    </w:p>
    <w:p>
      <w:pPr>
        <w:shd w:fill="F4F7FB" w:val="clear"/>
        <w:spacing w:after="140"/>
      </w:pPr>
      <w:r>
        <w:rPr>
          <w:b/>
          <w:bCs/>
          <w:color w:val="0E1B33"/>
          <w:sz w:val="30"/>
          <w:szCs w:val="30"/>
        </w:rPr>
        <w:t xml:space="preserve">$1,297</w:t>
      </w:r>
      <w:r>
        <w:rPr>
          <w:color w:val="5A6B87"/>
          <w:sz w:val="16"/>
          <w:szCs w:val="16"/>
        </w:rPr>
        <w:t xml:space="preserve">  / month</w:t>
      </w:r>
    </w:p>
    <w:p>
      <w:pPr>
        <w:pStyle w:val="ListParagraph"/>
        <w:numPr>
          <w:ilvl w:val="0"/>
          <w:numId w:val="1"/>
        </w:numPr>
        <w:spacing w:after="45"/>
      </w:pPr>
      <w:r>
        <w:rPr>
          <w:color w:val="22314F"/>
          <w:sz w:val="17"/>
          <w:szCs w:val="17"/>
        </w:rPr>
        <w:t xml:space="preserve">24 posts per month (images + short-form video)</w:t>
      </w:r>
    </w:p>
    <w:p>
      <w:pPr>
        <w:pStyle w:val="ListParagraph"/>
        <w:numPr>
          <w:ilvl w:val="0"/>
          <w:numId w:val="1"/>
        </w:numPr>
        <w:spacing w:after="45"/>
      </w:pPr>
      <w:r>
        <w:rPr>
          <w:color w:val="22314F"/>
          <w:sz w:val="17"/>
          <w:szCs w:val="17"/>
        </w:rPr>
        <w:t xml:space="preserve">Published across 3–4 platforms</w:t>
      </w:r>
    </w:p>
    <w:p>
      <w:pPr>
        <w:pStyle w:val="ListParagraph"/>
        <w:numPr>
          <w:ilvl w:val="0"/>
          <w:numId w:val="1"/>
        </w:numPr>
        <w:spacing w:after="45"/>
      </w:pPr>
      <w:r>
        <w:rPr>
          <w:color w:val="22314F"/>
          <w:sz w:val="17"/>
          <w:szCs w:val="17"/>
        </w:rPr>
        <w:t xml:space="preserve">Video editing: cuts, captions, branding</w:t>
      </w:r>
    </w:p>
    <w:p>
      <w:pPr>
        <w:pStyle w:val="ListParagraph"/>
        <w:numPr>
          <w:ilvl w:val="0"/>
          <w:numId w:val="1"/>
        </w:numPr>
        <w:spacing w:after="45"/>
      </w:pPr>
      <w:r>
        <w:rPr>
          <w:color w:val="22314F"/>
          <w:sz w:val="17"/>
          <w:szCs w:val="17"/>
        </w:rPr>
        <w:t xml:space="preserve">Monthly content calendar with approval workflow</w:t>
      </w:r>
    </w:p>
    <w:p>
      <w:pPr>
        <w:pStyle w:val="ListParagraph"/>
        <w:numPr>
          <w:ilvl w:val="0"/>
          <w:numId w:val="1"/>
        </w:numPr>
        <w:spacing w:after="45"/>
      </w:pPr>
      <w:r>
        <w:rPr>
          <w:color w:val="22314F"/>
          <w:sz w:val="17"/>
          <w:szCs w:val="17"/>
        </w:rPr>
        <w:t xml:space="preserve">Daily community management</w:t>
      </w:r>
    </w:p>
    <w:p>
      <w:pPr>
        <w:pStyle w:val="ListParagraph"/>
        <w:numPr>
          <w:ilvl w:val="0"/>
          <w:numId w:val="1"/>
        </w:numPr>
        <w:spacing w:after="45"/>
      </w:pPr>
      <w:r>
        <w:rPr>
          <w:color w:val="22314F"/>
          <w:sz w:val="17"/>
          <w:szCs w:val="17"/>
        </w:rPr>
        <w:t xml:space="preserve">Bilingual copywriting where applicable</w:t>
      </w:r>
    </w:p>
    <w:p>
      <w:pPr>
        <w:spacing w:after="100"/>
      </w:pPr>
      <w:r>
        <w:t xml:space="preserve"/>
      </w:r>
    </w:p>
    <w:p>
      <w:pPr>
        <w:shd w:fill="0E1B33" w:val="clear"/>
        <w:spacing w:after="0" w:before="220"/>
      </w:pPr>
      <w:r>
        <w:rPr>
          <w:b/>
          <w:bCs/>
          <w:color w:val="B2FF2E"/>
          <w:sz w:val="24"/>
          <w:szCs w:val="24"/>
        </w:rPr>
        <w:t xml:space="preserve">Premium</w:t>
      </w:r>
    </w:p>
    <w:p>
      <w:pPr>
        <w:shd w:fill="0E1B33" w:val="clear"/>
        <w:spacing w:after="100"/>
      </w:pPr>
      <w:r>
        <w:rPr>
          <w:i/>
          <w:iCs/>
          <w:color w:val="C3CEE0"/>
          <w:sz w:val="17"/>
          <w:szCs w:val="17"/>
        </w:rPr>
        <w:t xml:space="preserve">For businesses that need results fast, not just presence</w:t>
      </w:r>
    </w:p>
    <w:p>
      <w:pPr>
        <w:shd w:fill="0E1B33" w:val="clear"/>
        <w:spacing w:after="140"/>
      </w:pPr>
      <w:r>
        <w:rPr>
          <w:b/>
          <w:bCs/>
          <w:color w:val="FFFFFF"/>
          <w:sz w:val="30"/>
          <w:szCs w:val="30"/>
        </w:rPr>
        <w:t xml:space="preserve">$2,197</w:t>
      </w:r>
      <w:r>
        <w:rPr>
          <w:color w:val="8FA1BF"/>
          <w:sz w:val="16"/>
          <w:szCs w:val="16"/>
        </w:rPr>
        <w:t xml:space="preserve">  / month</w:t>
      </w:r>
    </w:p>
    <w:p>
      <w:pPr>
        <w:pStyle w:val="ListParagraph"/>
        <w:numPr>
          <w:ilvl w:val="0"/>
          <w:numId w:val="1"/>
        </w:numPr>
        <w:spacing w:after="45"/>
      </w:pPr>
      <w:r>
        <w:rPr>
          <w:color w:val="22314F"/>
          <w:sz w:val="17"/>
          <w:szCs w:val="17"/>
        </w:rPr>
        <w:t xml:space="preserve">30+ posts per month across images and video</w:t>
      </w:r>
    </w:p>
    <w:p>
      <w:pPr>
        <w:pStyle w:val="ListParagraph"/>
        <w:numPr>
          <w:ilvl w:val="0"/>
          <w:numId w:val="1"/>
        </w:numPr>
        <w:spacing w:after="45"/>
      </w:pPr>
      <w:r>
        <w:rPr>
          <w:color w:val="22314F"/>
          <w:sz w:val="17"/>
          <w:szCs w:val="17"/>
        </w:rPr>
        <w:t xml:space="preserve">Published across 5 platforms</w:t>
      </w:r>
    </w:p>
    <w:p>
      <w:pPr>
        <w:pStyle w:val="ListParagraph"/>
        <w:numPr>
          <w:ilvl w:val="0"/>
          <w:numId w:val="1"/>
        </w:numPr>
        <w:spacing w:after="45"/>
      </w:pPr>
      <w:r>
        <w:rPr>
          <w:color w:val="22314F"/>
          <w:sz w:val="17"/>
          <w:szCs w:val="17"/>
        </w:rPr>
        <w:t xml:space="preserve">Full video production: cuts, subtitles, branding, motion graphics</w:t>
      </w:r>
    </w:p>
    <w:p>
      <w:pPr>
        <w:pStyle w:val="ListParagraph"/>
        <w:numPr>
          <w:ilvl w:val="0"/>
          <w:numId w:val="1"/>
        </w:numPr>
        <w:spacing w:after="45"/>
      </w:pPr>
      <w:r>
        <w:rPr>
          <w:color w:val="22314F"/>
          <w:sz w:val="17"/>
          <w:szCs w:val="17"/>
        </w:rPr>
        <w:t xml:space="preserve">Weekly content calendar with priority turnaround</w:t>
      </w:r>
    </w:p>
    <w:p>
      <w:pPr>
        <w:pStyle w:val="ListParagraph"/>
        <w:numPr>
          <w:ilvl w:val="0"/>
          <w:numId w:val="1"/>
        </w:numPr>
        <w:spacing w:after="45"/>
      </w:pPr>
      <w:r>
        <w:rPr>
          <w:color w:val="22314F"/>
          <w:sz w:val="17"/>
          <w:szCs w:val="17"/>
        </w:rPr>
        <w:t xml:space="preserve">Daily community management + proactive engagement</w:t>
      </w:r>
    </w:p>
    <w:p>
      <w:pPr>
        <w:pStyle w:val="ListParagraph"/>
        <w:numPr>
          <w:ilvl w:val="0"/>
          <w:numId w:val="1"/>
        </w:numPr>
        <w:spacing w:after="45"/>
      </w:pPr>
      <w:r>
        <w:rPr>
          <w:color w:val="22314F"/>
          <w:sz w:val="17"/>
          <w:szCs w:val="17"/>
        </w:rPr>
        <w:t xml:space="preserve">Bilingual copywriting, tone-matched to each platform</w:t>
      </w:r>
    </w:p>
    <w:p>
      <w:pPr>
        <w:pStyle w:val="ListParagraph"/>
        <w:numPr>
          <w:ilvl w:val="0"/>
          <w:numId w:val="1"/>
        </w:numPr>
        <w:spacing w:after="45"/>
      </w:pPr>
      <w:r>
        <w:rPr>
          <w:color w:val="22314F"/>
          <w:sz w:val="17"/>
          <w:szCs w:val="17"/>
        </w:rPr>
        <w:t xml:space="preserve">Dedicated account strategist</w:t>
      </w:r>
    </w:p>
    <w:p>
      <w:pPr>
        <w:spacing w:after="100"/>
      </w:pPr>
      <w:r>
        <w:t xml:space="preserve"/>
      </w:r>
    </w:p>
    <w:p>
      <w:pPr>
        <w:pStyle w:val="Heading1"/>
        <w:spacing w:after="100" w:before="280"/>
      </w:pPr>
      <w:r>
        <w:rPr>
          <w:b/>
          <w:bCs/>
          <w:color w:val="0E1B33"/>
          <w:sz w:val="28"/>
          <w:szCs w:val="28"/>
        </w:rPr>
        <w:t xml:space="preserve">Meta Advertising</w:t>
      </w:r>
    </w:p>
    <w:p>
      <w:pPr>
        <w:shd w:fill="F4F7FB" w:val="clear"/>
        <w:spacing w:after="0" w:before="220"/>
      </w:pPr>
      <w:r>
        <w:rPr>
          <w:b/>
          <w:bCs/>
          <w:color w:val="0E1B33"/>
          <w:sz w:val="24"/>
          <w:szCs w:val="24"/>
        </w:rPr>
        <w:t xml:space="preserve">Basic</w:t>
      </w:r>
    </w:p>
    <w:p>
      <w:pPr>
        <w:shd w:fill="F4F7FB" w:val="clear"/>
        <w:spacing w:after="100"/>
      </w:pPr>
      <w:r>
        <w:rPr>
          <w:i/>
          <w:iCs/>
          <w:color w:val="5A6B87"/>
          <w:sz w:val="17"/>
          <w:szCs w:val="17"/>
        </w:rPr>
        <w:t xml:space="preserve">For businesses testing paid acquisition</w:t>
      </w:r>
    </w:p>
    <w:p>
      <w:pPr>
        <w:shd w:fill="F4F7FB" w:val="clear"/>
        <w:spacing w:after="140"/>
      </w:pPr>
      <w:r>
        <w:rPr>
          <w:b/>
          <w:bCs/>
          <w:color w:val="0E1B33"/>
          <w:sz w:val="30"/>
          <w:szCs w:val="30"/>
        </w:rPr>
        <w:t xml:space="preserve">$497</w:t>
      </w:r>
      <w:r>
        <w:rPr>
          <w:color w:val="5A6B87"/>
          <w:sz w:val="16"/>
          <w:szCs w:val="16"/>
        </w:rPr>
        <w:t xml:space="preserve">  / month</w:t>
      </w:r>
    </w:p>
    <w:p>
      <w:pPr>
        <w:pStyle w:val="ListParagraph"/>
        <w:numPr>
          <w:ilvl w:val="0"/>
          <w:numId w:val="1"/>
        </w:numPr>
        <w:spacing w:after="45"/>
      </w:pPr>
      <w:r>
        <w:rPr>
          <w:color w:val="22314F"/>
          <w:sz w:val="17"/>
          <w:szCs w:val="17"/>
        </w:rPr>
        <w:t xml:space="preserve">Campaign setup and management, ad spend up to $1,000/mo</w:t>
      </w:r>
    </w:p>
    <w:p>
      <w:pPr>
        <w:pStyle w:val="ListParagraph"/>
        <w:numPr>
          <w:ilvl w:val="0"/>
          <w:numId w:val="1"/>
        </w:numPr>
        <w:spacing w:after="45"/>
      </w:pPr>
      <w:r>
        <w:rPr>
          <w:color w:val="22314F"/>
          <w:sz w:val="17"/>
          <w:szCs w:val="17"/>
        </w:rPr>
        <w:t xml:space="preserve">Single campaign objective</w:t>
      </w:r>
    </w:p>
    <w:p>
      <w:pPr>
        <w:pStyle w:val="ListParagraph"/>
        <w:numPr>
          <w:ilvl w:val="0"/>
          <w:numId w:val="1"/>
        </w:numPr>
        <w:spacing w:after="45"/>
      </w:pPr>
      <w:r>
        <w:rPr>
          <w:color w:val="22314F"/>
          <w:sz w:val="17"/>
          <w:szCs w:val="17"/>
        </w:rPr>
        <w:t xml:space="preserve">Pixel installation and basic tracking</w:t>
      </w:r>
    </w:p>
    <w:p>
      <w:pPr>
        <w:pStyle w:val="ListParagraph"/>
        <w:numPr>
          <w:ilvl w:val="0"/>
          <w:numId w:val="1"/>
        </w:numPr>
        <w:spacing w:after="45"/>
      </w:pPr>
      <w:r>
        <w:rPr>
          <w:color w:val="22314F"/>
          <w:sz w:val="17"/>
          <w:szCs w:val="17"/>
        </w:rPr>
        <w:t xml:space="preserve">Monthly performance report</w:t>
      </w:r>
    </w:p>
    <w:p>
      <w:pPr>
        <w:spacing w:after="100"/>
      </w:pPr>
      <w:r>
        <w:t xml:space="preserve"/>
      </w:r>
    </w:p>
    <w:p>
      <w:pPr>
        <w:shd w:fill="F4F7FB" w:val="clear"/>
        <w:spacing w:after="0" w:before="220"/>
      </w:pPr>
      <w:r>
        <w:rPr>
          <w:b/>
          <w:bCs/>
          <w:color w:val="0E1B33"/>
          <w:sz w:val="24"/>
          <w:szCs w:val="24"/>
        </w:rPr>
        <w:t xml:space="preserve">Standard</w:t>
      </w:r>
    </w:p>
    <w:p>
      <w:pPr>
        <w:shd w:fill="F4F7FB" w:val="clear"/>
        <w:spacing w:after="100"/>
      </w:pPr>
      <w:r>
        <w:rPr>
          <w:i/>
          <w:iCs/>
          <w:color w:val="5A6B87"/>
          <w:sz w:val="17"/>
          <w:szCs w:val="17"/>
        </w:rPr>
        <w:t xml:space="preserve">For businesses scaling a working funnel</w:t>
      </w:r>
    </w:p>
    <w:p>
      <w:pPr>
        <w:shd w:fill="F4F7FB" w:val="clear"/>
        <w:spacing w:after="140"/>
      </w:pPr>
      <w:r>
        <w:rPr>
          <w:b/>
          <w:bCs/>
          <w:color w:val="0E1B33"/>
          <w:sz w:val="30"/>
          <w:szCs w:val="30"/>
        </w:rPr>
        <w:t xml:space="preserve">$897</w:t>
      </w:r>
      <w:r>
        <w:rPr>
          <w:color w:val="5A6B87"/>
          <w:sz w:val="16"/>
          <w:szCs w:val="16"/>
        </w:rPr>
        <w:t xml:space="preserve">  / month</w:t>
      </w:r>
    </w:p>
    <w:p>
      <w:pPr>
        <w:pStyle w:val="ListParagraph"/>
        <w:numPr>
          <w:ilvl w:val="0"/>
          <w:numId w:val="1"/>
        </w:numPr>
        <w:spacing w:after="45"/>
      </w:pPr>
      <w:r>
        <w:rPr>
          <w:color w:val="22314F"/>
          <w:sz w:val="17"/>
          <w:szCs w:val="17"/>
        </w:rPr>
        <w:t xml:space="preserve">Campaign management, ad spend up to $3,000/mo</w:t>
      </w:r>
    </w:p>
    <w:p>
      <w:pPr>
        <w:pStyle w:val="ListParagraph"/>
        <w:numPr>
          <w:ilvl w:val="0"/>
          <w:numId w:val="1"/>
        </w:numPr>
        <w:spacing w:after="45"/>
      </w:pPr>
      <w:r>
        <w:rPr>
          <w:color w:val="22314F"/>
          <w:sz w:val="17"/>
          <w:szCs w:val="17"/>
        </w:rPr>
        <w:t xml:space="preserve">Multiple campaign objectives and audience segments</w:t>
      </w:r>
    </w:p>
    <w:p>
      <w:pPr>
        <w:pStyle w:val="ListParagraph"/>
        <w:numPr>
          <w:ilvl w:val="0"/>
          <w:numId w:val="1"/>
        </w:numPr>
        <w:spacing w:after="45"/>
      </w:pPr>
      <w:r>
        <w:rPr>
          <w:color w:val="22314F"/>
          <w:sz w:val="17"/>
          <w:szCs w:val="17"/>
        </w:rPr>
        <w:t xml:space="preserve">Full pixel and conversion tracking</w:t>
      </w:r>
    </w:p>
    <w:p>
      <w:pPr>
        <w:pStyle w:val="ListParagraph"/>
        <w:numPr>
          <w:ilvl w:val="0"/>
          <w:numId w:val="1"/>
        </w:numPr>
        <w:spacing w:after="45"/>
      </w:pPr>
      <w:r>
        <w:rPr>
          <w:color w:val="22314F"/>
          <w:sz w:val="17"/>
          <w:szCs w:val="17"/>
        </w:rPr>
        <w:t xml:space="preserve">A/B creative testing</w:t>
      </w:r>
    </w:p>
    <w:p>
      <w:pPr>
        <w:pStyle w:val="ListParagraph"/>
        <w:numPr>
          <w:ilvl w:val="0"/>
          <w:numId w:val="1"/>
        </w:numPr>
        <w:spacing w:after="45"/>
      </w:pPr>
      <w:r>
        <w:rPr>
          <w:color w:val="22314F"/>
          <w:sz w:val="17"/>
          <w:szCs w:val="17"/>
        </w:rPr>
        <w:t xml:space="preserve">Weekly performance review, monthly written report</w:t>
      </w:r>
    </w:p>
    <w:p>
      <w:pPr>
        <w:spacing w:after="100"/>
      </w:pPr>
      <w:r>
        <w:t xml:space="preserve"/>
      </w:r>
    </w:p>
    <w:p>
      <w:pPr>
        <w:shd w:fill="0E1B33" w:val="clear"/>
        <w:spacing w:after="0" w:before="220"/>
      </w:pPr>
      <w:r>
        <w:rPr>
          <w:b/>
          <w:bCs/>
          <w:color w:val="B2FF2E"/>
          <w:sz w:val="24"/>
          <w:szCs w:val="24"/>
        </w:rPr>
        <w:t xml:space="preserve">Premium</w:t>
      </w:r>
    </w:p>
    <w:p>
      <w:pPr>
        <w:shd w:fill="0E1B33" w:val="clear"/>
        <w:spacing w:after="100"/>
      </w:pPr>
      <w:r>
        <w:rPr>
          <w:i/>
          <w:iCs/>
          <w:color w:val="C3CEE0"/>
          <w:sz w:val="17"/>
          <w:szCs w:val="17"/>
        </w:rPr>
        <w:t xml:space="preserve">For businesses that need qualified leads, fast</w:t>
      </w:r>
    </w:p>
    <w:p>
      <w:pPr>
        <w:shd w:fill="0E1B33" w:val="clear"/>
        <w:spacing w:after="140"/>
      </w:pPr>
      <w:r>
        <w:rPr>
          <w:b/>
          <w:bCs/>
          <w:color w:val="FFFFFF"/>
          <w:sz w:val="30"/>
          <w:szCs w:val="30"/>
        </w:rPr>
        <w:t xml:space="preserve">$1,497</w:t>
      </w:r>
      <w:r>
        <w:rPr>
          <w:color w:val="8FA1BF"/>
          <w:sz w:val="16"/>
          <w:szCs w:val="16"/>
        </w:rPr>
        <w:t xml:space="preserve">  / month</w:t>
      </w:r>
    </w:p>
    <w:p>
      <w:pPr>
        <w:pStyle w:val="ListParagraph"/>
        <w:numPr>
          <w:ilvl w:val="0"/>
          <w:numId w:val="1"/>
        </w:numPr>
        <w:spacing w:after="45"/>
      </w:pPr>
      <w:r>
        <w:rPr>
          <w:color w:val="22314F"/>
          <w:sz w:val="17"/>
          <w:szCs w:val="17"/>
        </w:rPr>
        <w:t xml:space="preserve">Campaign management, ad spend up to $6,000/mo</w:t>
      </w:r>
    </w:p>
    <w:p>
      <w:pPr>
        <w:pStyle w:val="ListParagraph"/>
        <w:numPr>
          <w:ilvl w:val="0"/>
          <w:numId w:val="1"/>
        </w:numPr>
        <w:spacing w:after="45"/>
      </w:pPr>
      <w:r>
        <w:rPr>
          <w:color w:val="22314F"/>
          <w:sz w:val="17"/>
          <w:szCs w:val="17"/>
        </w:rPr>
        <w:t xml:space="preserve">Multiple funnels by product/service line</w:t>
      </w:r>
    </w:p>
    <w:p>
      <w:pPr>
        <w:pStyle w:val="ListParagraph"/>
        <w:numPr>
          <w:ilvl w:val="0"/>
          <w:numId w:val="1"/>
        </w:numPr>
        <w:spacing w:after="45"/>
      </w:pPr>
      <w:r>
        <w:rPr>
          <w:color w:val="22314F"/>
          <w:sz w:val="17"/>
          <w:szCs w:val="17"/>
        </w:rPr>
        <w:t xml:space="preserve">Advanced tracking, retargeting and lookalike audiences</w:t>
      </w:r>
    </w:p>
    <w:p>
      <w:pPr>
        <w:pStyle w:val="ListParagraph"/>
        <w:numPr>
          <w:ilvl w:val="0"/>
          <w:numId w:val="1"/>
        </w:numPr>
        <w:spacing w:after="45"/>
      </w:pPr>
      <w:r>
        <w:rPr>
          <w:color w:val="22314F"/>
          <w:sz w:val="17"/>
          <w:szCs w:val="17"/>
        </w:rPr>
        <w:t xml:space="preserve">Continuous creative testing and optimisation</w:t>
      </w:r>
    </w:p>
    <w:p>
      <w:pPr>
        <w:pStyle w:val="ListParagraph"/>
        <w:numPr>
          <w:ilvl w:val="0"/>
          <w:numId w:val="1"/>
        </w:numPr>
        <w:spacing w:after="45"/>
      </w:pPr>
      <w:r>
        <w:rPr>
          <w:color w:val="22314F"/>
          <w:sz w:val="17"/>
          <w:szCs w:val="17"/>
        </w:rPr>
        <w:t xml:space="preserve">Weekly performance review + monthly strategy call</w:t>
      </w:r>
    </w:p>
    <w:p>
      <w:pPr>
        <w:pStyle w:val="ListParagraph"/>
        <w:numPr>
          <w:ilvl w:val="0"/>
          <w:numId w:val="1"/>
        </w:numPr>
        <w:spacing w:after="45"/>
      </w:pPr>
      <w:r>
        <w:rPr>
          <w:color w:val="22314F"/>
          <w:sz w:val="17"/>
          <w:szCs w:val="17"/>
        </w:rPr>
        <w:t xml:space="preserve">Priority turnaround on campaign changes</w:t>
      </w:r>
    </w:p>
    <w:p>
      <w:pPr>
        <w:spacing w:after="100"/>
      </w:pPr>
      <w:r>
        <w:t xml:space="preserve"/>
      </w:r>
    </w:p>
    <w:p>
      <w:pPr>
        <w:pBdr>
          <w:left w:val="single" w:color="B2FF2E" w:sz="24" w:space="8"/>
        </w:pBdr>
        <w:shd w:fill="F4F7FB" w:val="clear"/>
        <w:spacing w:after="200" w:before="220"/>
      </w:pPr>
      <w:r>
        <w:rPr>
          <w:b/>
          <w:bCs/>
          <w:color w:val="0E1B33"/>
          <w:sz w:val="20"/>
          <w:szCs w:val="20"/>
        </w:rPr>
        <w:t xml:space="preserve">Our approach: </w:t>
      </w:r>
      <w:r>
        <w:rPr>
          <w:color w:val="22314F"/>
          <w:sz w:val="20"/>
          <w:szCs w:val="20"/>
        </w:rPr>
        <w:t xml:space="preserve">whichever tier a client selects, we deliver at our premium execution standard. The tiers control scope and volume — not the quality of strategy, creative, or account management behind the work.</w:t>
      </w:r>
    </w:p>
    <w:p>
      <w:pPr>
        <w:spacing w:after="60" w:before="80"/>
      </w:pPr>
      <w:r>
        <w:rPr>
          <w:b/>
          <w:bCs/>
          <w:color w:val="0E1B33"/>
          <w:sz w:val="22"/>
          <w:szCs w:val="22"/>
        </w:rPr>
        <w:t xml:space="preserve">Add-on services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rPr>
          <w:tblHeader/>
        </w:trPr>
        <w:tc>
          <w:tcPr>
            <w:tcW w:type="dxa" w:w="6500"/>
            <w:shd w:fill="0E1B33" w:val="clear"/>
            <w:tcMar>
              <w:top w:type="dxa" w:w="90"/>
              <w:left w:type="dxa" w:w="110"/>
              <w:bottom w:type="dxa" w:w="90"/>
              <w:right w:type="dxa" w:w="110"/>
            </w:tcMar>
          </w:tcPr>
          <w:p>
            <w:pPr>
              <w:jc w:val="left"/>
            </w:pPr>
            <w:r>
              <w:rPr>
                <w:b/>
                <w:bCs/>
                <w:color w:val="FFFFFF"/>
                <w:sz w:val="17"/>
                <w:szCs w:val="17"/>
              </w:rPr>
              <w:t xml:space="preserve">Service</w:t>
            </w:r>
          </w:p>
        </w:tc>
        <w:tc>
          <w:tcPr>
            <w:tcW w:type="dxa" w:w="2500"/>
            <w:shd w:fill="0E1B33" w:val="clear"/>
            <w:tcMar>
              <w:top w:type="dxa" w:w="90"/>
              <w:left w:type="dxa" w:w="110"/>
              <w:bottom w:type="dxa" w:w="90"/>
              <w:right w:type="dxa" w:w="110"/>
            </w:tcMar>
          </w:tcPr>
          <w:p>
            <w:pPr>
              <w:jc w:val="left"/>
            </w:pPr>
            <w:r>
              <w:rPr>
                <w:b/>
                <w:bCs/>
                <w:color w:val="FFFFFF"/>
                <w:sz w:val="17"/>
                <w:szCs w:val="17"/>
              </w:rPr>
              <w:t xml:space="preserve">Price</w:t>
            </w:r>
          </w:p>
        </w:tc>
      </w:tr>
      <w:tr>
        <w:tc>
          <w:tcPr>
            <w:tcW w:type="dxa" w:w="6500"/>
            <w:shd w:fill="FFFFFF" w:val="clear"/>
            <w:tcMar>
              <w:top w:type="dxa" w:w="90"/>
              <w:left w:type="dxa" w:w="110"/>
              <w:bottom w:type="dxa" w:w="90"/>
              <w:right w:type="dxa" w:w="110"/>
            </w:tcMar>
          </w:tcPr>
          <w:p>
            <w:pPr>
              <w:jc w:val="left"/>
            </w:pPr>
            <w:r>
              <w:rPr>
                <w:b w:val="false"/>
                <w:bCs w:val="false"/>
                <w:color w:val="22314F"/>
                <w:sz w:val="18"/>
                <w:szCs w:val="18"/>
              </w:rPr>
              <w:t xml:space="preserve">Google Business Profile management</w:t>
            </w:r>
          </w:p>
        </w:tc>
        <w:tc>
          <w:tcPr>
            <w:tcW w:type="dxa" w:w="2500"/>
            <w:shd w:fill="FFFFFF" w:val="clear"/>
            <w:tcMar>
              <w:top w:type="dxa" w:w="90"/>
              <w:left w:type="dxa" w:w="110"/>
              <w:bottom w:type="dxa" w:w="90"/>
              <w:right w:type="dxa" w:w="110"/>
            </w:tcMar>
          </w:tcPr>
          <w:p>
            <w:pPr>
              <w:jc w:val="center"/>
            </w:pPr>
            <w:r>
              <w:rPr>
                <w:b w:val="false"/>
                <w:bCs w:val="false"/>
                <w:color w:val="22314F"/>
                <w:sz w:val="18"/>
                <w:szCs w:val="18"/>
              </w:rPr>
              <w:t xml:space="preserve">$247 / month</w:t>
            </w:r>
          </w:p>
        </w:tc>
      </w:tr>
      <w:tr>
        <w:tc>
          <w:tcPr>
            <w:tcW w:type="dxa" w:w="6500"/>
            <w:shd w:fill="FFFFFF" w:val="clear"/>
            <w:tcMar>
              <w:top w:type="dxa" w:w="90"/>
              <w:left w:type="dxa" w:w="110"/>
              <w:bottom w:type="dxa" w:w="90"/>
              <w:right w:type="dxa" w:w="110"/>
            </w:tcMar>
          </w:tcPr>
          <w:p>
            <w:pPr>
              <w:jc w:val="left"/>
            </w:pPr>
            <w:r>
              <w:rPr>
                <w:b w:val="false"/>
                <w:bCs w:val="false"/>
                <w:color w:val="22314F"/>
                <w:sz w:val="18"/>
                <w:szCs w:val="18"/>
              </w:rPr>
              <w:t xml:space="preserve">Website SEO (technical + content + off-page)</w:t>
            </w:r>
          </w:p>
        </w:tc>
        <w:tc>
          <w:tcPr>
            <w:tcW w:type="dxa" w:w="2500"/>
            <w:shd w:fill="FFFFFF" w:val="clear"/>
            <w:tcMar>
              <w:top w:type="dxa" w:w="90"/>
              <w:left w:type="dxa" w:w="110"/>
              <w:bottom w:type="dxa" w:w="90"/>
              <w:right w:type="dxa" w:w="110"/>
            </w:tcMar>
          </w:tcPr>
          <w:p>
            <w:pPr>
              <w:jc w:val="center"/>
            </w:pPr>
            <w:r>
              <w:rPr>
                <w:b w:val="false"/>
                <w:bCs w:val="false"/>
                <w:color w:val="22314F"/>
                <w:sz w:val="18"/>
                <w:szCs w:val="18"/>
              </w:rPr>
              <w:t xml:space="preserve">$697 / month</w:t>
            </w:r>
          </w:p>
        </w:tc>
      </w:tr>
      <w:tr>
        <w:tc>
          <w:tcPr>
            <w:tcW w:type="dxa" w:w="6500"/>
            <w:shd w:fill="FFFFFF" w:val="clear"/>
            <w:tcMar>
              <w:top w:type="dxa" w:w="90"/>
              <w:left w:type="dxa" w:w="110"/>
              <w:bottom w:type="dxa" w:w="90"/>
              <w:right w:type="dxa" w:w="110"/>
            </w:tcMar>
          </w:tcPr>
          <w:p>
            <w:pPr>
              <w:jc w:val="left"/>
            </w:pPr>
            <w:r>
              <w:rPr>
                <w:b w:val="false"/>
                <w:bCs w:val="false"/>
                <w:color w:val="22314F"/>
                <w:sz w:val="18"/>
                <w:szCs w:val="18"/>
              </w:rPr>
              <w:t xml:space="preserve">One-time onboarding &amp; account setup</w:t>
            </w:r>
          </w:p>
        </w:tc>
        <w:tc>
          <w:tcPr>
            <w:tcW w:type="dxa" w:w="2500"/>
            <w:shd w:fill="FFFFFF" w:val="clear"/>
            <w:tcMar>
              <w:top w:type="dxa" w:w="90"/>
              <w:left w:type="dxa" w:w="110"/>
              <w:bottom w:type="dxa" w:w="90"/>
              <w:right w:type="dxa" w:w="110"/>
            </w:tcMar>
          </w:tcPr>
          <w:p>
            <w:pPr>
              <w:jc w:val="center"/>
            </w:pPr>
            <w:r>
              <w:rPr>
                <w:b w:val="false"/>
                <w:bCs w:val="false"/>
                <w:color w:val="22314F"/>
                <w:sz w:val="18"/>
                <w:szCs w:val="18"/>
              </w:rPr>
              <w:t xml:space="preserve">$397</w:t>
            </w:r>
          </w:p>
        </w:tc>
      </w:tr>
    </w:tbl>
    <w:p>
      <w:pPr>
        <w:pBdr>
          <w:top w:val="single" w:color="D8DFEA" w:sz="6" w:space="8"/>
        </w:pBdr>
        <w:spacing w:before="260"/>
      </w:pPr>
      <w:r>
        <w:rPr>
          <w:color w:val="5A6B87"/>
          <w:sz w:val="17"/>
          <w:szCs w:val="17"/>
        </w:rPr>
        <w:t xml:space="preserve">Pricing reflects standard US-market rates for full-service digital marketing agencies. Custom scopes and bundled discounts available on request.</w:t>
      </w:r>
    </w:p>
    <w:sectPr>
      <w:pgSz w:w="12240" w:h="15840"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2026-09-16T05:58:51.096Z</dcterms:created>
  <dcterms:modified xsi:type="dcterms:W3CDTF">2026-09-16T05:58:51.103Z</dcterms:modified>
</cp:coreProperties>
</file>

<file path=docProps/custom.xml><?xml version="1.0" encoding="utf-8"?>
<Properties xmlns="http://schemas.openxmlformats.org/officeDocument/2006/custom-properties" xmlns:vt="http://schemas.openxmlformats.org/officeDocument/2006/docPropsVTypes"/>
</file>